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69" w:rsidRPr="00610A69" w:rsidRDefault="00610A69" w:rsidP="00610A69">
      <w:pPr>
        <w:spacing w:after="75" w:line="240" w:lineRule="auto"/>
        <w:outlineLvl w:val="0"/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</w:pPr>
      <w:r w:rsidRPr="00610A69"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>Распоряжение Правительства РФ от 12.08.2020 N 2072-р «О выделении 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организациях».</w:t>
      </w:r>
    </w:p>
    <w:p w:rsidR="00610A69" w:rsidRPr="00610A69" w:rsidRDefault="00610A69" w:rsidP="00610A69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610A69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ПРАВИТЕЛЬСТВО РОССИЙСКОЙ ФЕДЕРАЦИИ</w:t>
      </w:r>
    </w:p>
    <w:p w:rsidR="00610A69" w:rsidRPr="00610A69" w:rsidRDefault="00610A69" w:rsidP="00610A69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610A69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 </w:t>
      </w:r>
    </w:p>
    <w:p w:rsidR="00610A69" w:rsidRPr="00610A69" w:rsidRDefault="00610A69" w:rsidP="00610A69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610A69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РАСПОРЯЖЕНИЕ</w:t>
      </w:r>
    </w:p>
    <w:p w:rsidR="00610A69" w:rsidRPr="00610A69" w:rsidRDefault="00610A69" w:rsidP="00610A69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610A69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от 12 августа 2020 г. N 2072-р</w:t>
      </w:r>
    </w:p>
    <w:p w:rsidR="00610A69" w:rsidRPr="00610A69" w:rsidRDefault="00610A69" w:rsidP="00610A69">
      <w:pPr>
        <w:shd w:val="clear" w:color="auto" w:fill="FFFFFF"/>
        <w:spacing w:before="120" w:after="150" w:line="240" w:lineRule="auto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1. В соответствии с </w:t>
      </w:r>
      <w:hyperlink r:id="rId4" w:anchor="dst288623" w:history="1">
        <w:r w:rsidRPr="00610A69">
          <w:rPr>
            <w:rFonts w:ascii="Roboto" w:eastAsia="Times New Roman" w:hAnsi="Roboto" w:cs="Times New Roman"/>
            <w:color w:val="151515"/>
            <w:sz w:val="24"/>
            <w:szCs w:val="24"/>
            <w:u w:val="single"/>
            <w:lang w:eastAsia="ru-RU"/>
          </w:rPr>
          <w:t>пунктом 16.1 части 1 статьи 21</w:t>
        </w:r>
      </w:hyperlink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Федерального закона “О федеральном бюджете на 2020 год и на плановый период 2021 и 2022 годов” направить бюджетные ассигнования, предусмотренные Минфину России по подразделу “Общее образование” раздела “Образование” классификации расходов бюджетов на 2020 год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объеме 21800000 тыс. рублей 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Минпросвещения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России для предоставления субсидий в 2020 году из федерального бюджета бюджетам субъектов Российской Федерации на 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софинансирование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 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fldChar w:fldCharType="begin"/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instrText xml:space="preserve"> HYPERLINK "http://www.consultant.ru/document/cons_doc_LAW_357895/cf742885e783e08d9387d7364e34f26f87ec138f/" \l "dst100019" </w:instrTex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fldChar w:fldCharType="separate"/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u w:val="single"/>
          <w:lang w:eastAsia="ru-RU"/>
        </w:rPr>
        <w:t>программы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fldChar w:fldCharType="end"/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Российской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Федерации “Развитие образования”, по подразделу “Общее образование” раздела “Образование” классификации расходов бюджетов на 2020 год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610A69" w:rsidRPr="00610A69" w:rsidRDefault="00610A69" w:rsidP="00610A69">
      <w:pPr>
        <w:shd w:val="clear" w:color="auto" w:fill="FFFFFF"/>
        <w:spacing w:before="120" w:after="150" w:line="240" w:lineRule="auto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2. Утвердить прилагаемые:</w:t>
      </w:r>
    </w:p>
    <w:p w:rsidR="00610A69" w:rsidRPr="00610A69" w:rsidRDefault="00610A69" w:rsidP="00610A69">
      <w:pPr>
        <w:shd w:val="clear" w:color="auto" w:fill="FFFFFF"/>
        <w:spacing w:before="120" w:after="150" w:line="240" w:lineRule="auto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5" w:anchor="dst100010" w:history="1">
        <w:r w:rsidRPr="00610A69">
          <w:rPr>
            <w:rFonts w:ascii="Roboto" w:eastAsia="Times New Roman" w:hAnsi="Roboto" w:cs="Times New Roman"/>
            <w:color w:val="151515"/>
            <w:sz w:val="24"/>
            <w:szCs w:val="24"/>
            <w:u w:val="single"/>
            <w:lang w:eastAsia="ru-RU"/>
          </w:rPr>
          <w:t>распределение</w:t>
        </w:r>
      </w:hyperlink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 субсидий, предоставляемых в 2020 году из федерального бюджета бюджетам субъектов Российской Федерации на 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софинансирование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lastRenderedPageBreak/>
        <w:t>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 Федерации “Развитие образования”;</w:t>
      </w:r>
    </w:p>
    <w:p w:rsidR="00610A69" w:rsidRPr="00610A69" w:rsidRDefault="00610A69" w:rsidP="00610A69">
      <w:pPr>
        <w:shd w:val="clear" w:color="auto" w:fill="FFFFFF"/>
        <w:spacing w:before="120" w:after="150" w:line="240" w:lineRule="auto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hyperlink r:id="rId6" w:anchor="dst100269" w:history="1">
        <w:r w:rsidRPr="00610A69">
          <w:rPr>
            <w:rFonts w:ascii="Roboto" w:eastAsia="Times New Roman" w:hAnsi="Roboto" w:cs="Times New Roman"/>
            <w:color w:val="151515"/>
            <w:sz w:val="24"/>
            <w:szCs w:val="24"/>
            <w:u w:val="single"/>
            <w:lang w:eastAsia="ru-RU"/>
          </w:rPr>
          <w:t>расчетный объем</w:t>
        </w:r>
      </w:hyperlink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 потребности субъектов Российской Федерации в 2020 – 2022 годах в субсидии из федерального бюджета бюджетам субъектов Российской Федерации на 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софинансирование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 Федерации “Развитие образования”.</w:t>
      </w:r>
    </w:p>
    <w:p w:rsidR="00610A69" w:rsidRPr="00610A69" w:rsidRDefault="00610A69" w:rsidP="00610A69">
      <w:pPr>
        <w:shd w:val="clear" w:color="auto" w:fill="FFFFFF"/>
        <w:spacing w:before="120" w:after="150" w:line="240" w:lineRule="auto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3. 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Минпросвещения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России в 2-недельный срок обеспечить заключение соглашений с высшими исполнительными органами государственной власти субъектов Российской Федерации о предоставлении субсидий из федерального бюджета бюджетам субъектов Российской Федерации на 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софинансирование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 </w:t>
      </w:r>
      <w:proofErr w:type="spellStart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fldChar w:fldCharType="begin"/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instrText xml:space="preserve"> HYPERLINK "http://www.consultant.ru/document/cons_doc_LAW_357895/cf742885e783e08d9387d7364e34f26f87ec138f/" \l "dst100019" </w:instrTex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fldChar w:fldCharType="separate"/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u w:val="single"/>
          <w:lang w:eastAsia="ru-RU"/>
        </w:rPr>
        <w:t>программы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fldChar w:fldCharType="end"/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Российской</w:t>
      </w:r>
      <w:proofErr w:type="spellEnd"/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 xml:space="preserve"> Федерации “Развитие образования”.</w:t>
      </w:r>
    </w:p>
    <w:p w:rsidR="00610A69" w:rsidRPr="00610A69" w:rsidRDefault="00610A69" w:rsidP="00610A69">
      <w:pPr>
        <w:shd w:val="clear" w:color="auto" w:fill="FFFFFF"/>
        <w:spacing w:before="120" w:after="150" w:line="240" w:lineRule="auto"/>
        <w:jc w:val="right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Председатель Правительства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Российской Федерации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М.МИШУСТИН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Утверждено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распоряжением Правительства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Российской Федерации</w:t>
      </w:r>
      <w:r w:rsidRPr="00610A69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  <w:t>от 12 августа 2020 г. N 2072-р</w:t>
      </w:r>
    </w:p>
    <w:p w:rsidR="00D84F29" w:rsidRDefault="00610A69">
      <w:bookmarkStart w:id="0" w:name="_GoBack"/>
      <w:bookmarkEnd w:id="0"/>
    </w:p>
    <w:sectPr w:rsidR="00D8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69"/>
    <w:rsid w:val="00610A69"/>
    <w:rsid w:val="00652370"/>
    <w:rsid w:val="00B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002C-AF75-4A71-98CB-6EB1D61F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0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A69"/>
    <w:rPr>
      <w:b/>
      <w:bCs/>
    </w:rPr>
  </w:style>
  <w:style w:type="character" w:styleId="a5">
    <w:name w:val="Hyperlink"/>
    <w:basedOn w:val="a0"/>
    <w:uiPriority w:val="99"/>
    <w:semiHidden/>
    <w:unhideWhenUsed/>
    <w:rsid w:val="00610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9904/4838a9edb4010feb3714694cfddb637c1dc0ee68/" TargetMode="External"/><Relationship Id="rId5" Type="http://schemas.openxmlformats.org/officeDocument/2006/relationships/hyperlink" Target="http://www.consultant.ru/document/cons_doc_LAW_359904/846bdbb66f78e0330fa03efae995dc0190a25749/" TargetMode="External"/><Relationship Id="rId4" Type="http://schemas.openxmlformats.org/officeDocument/2006/relationships/hyperlink" Target="http://www.consultant.ru/document/cons_doc_LAW_348014/b39b7a0acdc1b2b88c5e8fbd976af74bec7935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Хаваж</dc:creator>
  <cp:keywords/>
  <dc:description/>
  <cp:lastModifiedBy>Хаваж</cp:lastModifiedBy>
  <cp:revision>2</cp:revision>
  <dcterms:created xsi:type="dcterms:W3CDTF">2021-02-02T13:55:00Z</dcterms:created>
  <dcterms:modified xsi:type="dcterms:W3CDTF">2021-02-02T13:56:00Z</dcterms:modified>
</cp:coreProperties>
</file>